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43B5" w14:textId="50C5B12C" w:rsidR="00FD160D" w:rsidRPr="00A1068A" w:rsidRDefault="00417EB9" w:rsidP="000D2730">
      <w:pPr>
        <w:spacing w:after="0" w:line="240" w:lineRule="auto"/>
        <w:jc w:val="center"/>
        <w:rPr>
          <w:sz w:val="44"/>
          <w:szCs w:val="44"/>
        </w:rPr>
      </w:pPr>
      <w:r w:rsidRPr="00A1068A">
        <w:rPr>
          <w:sz w:val="44"/>
          <w:szCs w:val="44"/>
        </w:rPr>
        <w:t>Appel de candidatures</w:t>
      </w:r>
    </w:p>
    <w:p w14:paraId="0B8605F2" w14:textId="2F9EDB93" w:rsidR="00417EB9" w:rsidRDefault="00417EB9" w:rsidP="000D2730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417EB9">
        <w:rPr>
          <w:b/>
          <w:bCs/>
          <w:sz w:val="44"/>
          <w:szCs w:val="44"/>
        </w:rPr>
        <w:t>Doctorat financé 30 000$/an pendant 3 ans</w:t>
      </w:r>
    </w:p>
    <w:p w14:paraId="7EE9D148" w14:textId="3402BD7F" w:rsidR="00B27FCA" w:rsidRDefault="00B27FCA" w:rsidP="000D2730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Université du Québec à Rimouski</w:t>
      </w:r>
    </w:p>
    <w:p w14:paraId="0CB3C625" w14:textId="59ED3B21" w:rsidR="001A4941" w:rsidRPr="00417EB9" w:rsidRDefault="00A84F92" w:rsidP="000D2730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Début : j</w:t>
      </w:r>
      <w:r w:rsidR="001A4941">
        <w:rPr>
          <w:b/>
          <w:bCs/>
          <w:sz w:val="44"/>
          <w:szCs w:val="44"/>
        </w:rPr>
        <w:t>anvier 2026</w:t>
      </w:r>
    </w:p>
    <w:p w14:paraId="4B74E7D1" w14:textId="77777777" w:rsidR="00A11345" w:rsidRPr="00951CBD" w:rsidRDefault="00A11345" w:rsidP="000D2730">
      <w:pPr>
        <w:spacing w:after="0" w:line="240" w:lineRule="auto"/>
        <w:rPr>
          <w:sz w:val="24"/>
          <w:szCs w:val="24"/>
        </w:rPr>
      </w:pPr>
    </w:p>
    <w:p w14:paraId="30779B67" w14:textId="0E31A953" w:rsidR="00417EB9" w:rsidRDefault="00417EB9" w:rsidP="000D273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D2730">
        <w:rPr>
          <w:b/>
          <w:bCs/>
          <w:sz w:val="36"/>
          <w:szCs w:val="36"/>
        </w:rPr>
        <w:t>Projet Hydrologie, patrimoine et biodiversité</w:t>
      </w:r>
    </w:p>
    <w:p w14:paraId="5DBFFF44" w14:textId="434BBD50" w:rsidR="000D2730" w:rsidRPr="00A11345" w:rsidRDefault="000D2730" w:rsidP="001046E0">
      <w:pPr>
        <w:spacing w:after="0" w:line="240" w:lineRule="auto"/>
        <w:jc w:val="center"/>
        <w:rPr>
          <w:sz w:val="28"/>
          <w:szCs w:val="28"/>
        </w:rPr>
      </w:pPr>
      <w:r w:rsidRPr="00A11345">
        <w:rPr>
          <w:sz w:val="28"/>
          <w:szCs w:val="28"/>
        </w:rPr>
        <w:t>Adrian Michez (U. de Liège), Raphaël Proulx (UQTR), Manon Savard (UQAR)</w:t>
      </w:r>
    </w:p>
    <w:p w14:paraId="37E1A339" w14:textId="77777777" w:rsidR="000D2730" w:rsidRPr="00A11345" w:rsidRDefault="000D2730" w:rsidP="000D2730">
      <w:pPr>
        <w:spacing w:after="0" w:line="240" w:lineRule="auto"/>
        <w:jc w:val="center"/>
        <w:rPr>
          <w:sz w:val="28"/>
          <w:szCs w:val="28"/>
        </w:rPr>
      </w:pPr>
    </w:p>
    <w:p w14:paraId="0944F0A3" w14:textId="42E0747C" w:rsidR="00417EB9" w:rsidRPr="00A11345" w:rsidRDefault="000D2730" w:rsidP="000D2730">
      <w:pPr>
        <w:spacing w:after="0" w:line="240" w:lineRule="auto"/>
        <w:jc w:val="center"/>
        <w:rPr>
          <w:sz w:val="28"/>
          <w:szCs w:val="28"/>
        </w:rPr>
      </w:pPr>
      <w:r w:rsidRPr="00A11345">
        <w:rPr>
          <w:sz w:val="28"/>
          <w:szCs w:val="28"/>
        </w:rPr>
        <w:t>P</w:t>
      </w:r>
      <w:r w:rsidR="00417EB9" w:rsidRPr="00A11345">
        <w:rPr>
          <w:sz w:val="28"/>
          <w:szCs w:val="28"/>
        </w:rPr>
        <w:t>rojet financé par la Fédération Wallonie-Bruxelles-Québec, Fonds de la recherche Scientifique – FNRS et Fons de recherche du Québec – FRQ</w:t>
      </w:r>
    </w:p>
    <w:p w14:paraId="2DB5A445" w14:textId="77777777" w:rsidR="000D2730" w:rsidRPr="00A11345" w:rsidRDefault="000D2730" w:rsidP="000D2730">
      <w:pPr>
        <w:spacing w:after="0" w:line="240" w:lineRule="auto"/>
        <w:jc w:val="center"/>
        <w:rPr>
          <w:sz w:val="28"/>
          <w:szCs w:val="28"/>
        </w:rPr>
      </w:pPr>
    </w:p>
    <w:p w14:paraId="58A81BC9" w14:textId="39547F43" w:rsidR="000D2730" w:rsidRPr="00A11345" w:rsidRDefault="000D2730" w:rsidP="000D2730">
      <w:pPr>
        <w:spacing w:after="0" w:line="240" w:lineRule="auto"/>
        <w:rPr>
          <w:sz w:val="28"/>
          <w:szCs w:val="28"/>
        </w:rPr>
      </w:pPr>
      <w:r w:rsidRPr="00A11345">
        <w:rPr>
          <w:sz w:val="28"/>
          <w:szCs w:val="28"/>
        </w:rPr>
        <w:t xml:space="preserve">Le </w:t>
      </w:r>
      <w:r w:rsidRPr="00A11345">
        <w:rPr>
          <w:b/>
          <w:bCs/>
          <w:sz w:val="28"/>
          <w:szCs w:val="28"/>
        </w:rPr>
        <w:t>volet patrimoine</w:t>
      </w:r>
      <w:r w:rsidRPr="00A11345">
        <w:rPr>
          <w:sz w:val="28"/>
          <w:szCs w:val="28"/>
        </w:rPr>
        <w:t xml:space="preserve"> comporte deux axes principaux :</w:t>
      </w:r>
    </w:p>
    <w:p w14:paraId="7D296EF5" w14:textId="77777777" w:rsidR="000D2730" w:rsidRPr="00A11345" w:rsidRDefault="000D2730" w:rsidP="000D2730">
      <w:pPr>
        <w:spacing w:after="0" w:line="240" w:lineRule="auto"/>
        <w:rPr>
          <w:sz w:val="28"/>
          <w:szCs w:val="28"/>
        </w:rPr>
      </w:pPr>
    </w:p>
    <w:p w14:paraId="7293DA13" w14:textId="0ED4A81D" w:rsidR="000D2730" w:rsidRPr="00A11345" w:rsidRDefault="000D2730" w:rsidP="000D273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A11345">
        <w:rPr>
          <w:b/>
          <w:bCs/>
          <w:sz w:val="28"/>
          <w:szCs w:val="28"/>
        </w:rPr>
        <w:t>Gouvernance</w:t>
      </w:r>
    </w:p>
    <w:p w14:paraId="0B2BD827" w14:textId="40D83BC9" w:rsidR="00B27FCA" w:rsidRPr="00A11345" w:rsidRDefault="00B27FCA" w:rsidP="000D2730">
      <w:pPr>
        <w:spacing w:after="0" w:line="240" w:lineRule="auto"/>
        <w:jc w:val="both"/>
        <w:rPr>
          <w:sz w:val="28"/>
          <w:szCs w:val="28"/>
        </w:rPr>
      </w:pPr>
      <w:r w:rsidRPr="00A11345">
        <w:rPr>
          <w:sz w:val="28"/>
          <w:szCs w:val="28"/>
        </w:rPr>
        <w:t xml:space="preserve">Le projet consiste </w:t>
      </w:r>
      <w:r w:rsidR="00AA265B" w:rsidRPr="00A11345">
        <w:rPr>
          <w:sz w:val="28"/>
          <w:szCs w:val="28"/>
        </w:rPr>
        <w:t>à</w:t>
      </w:r>
      <w:r w:rsidR="00AA265B" w:rsidRPr="00A11345">
        <w:rPr>
          <w:b/>
          <w:bCs/>
          <w:sz w:val="28"/>
          <w:szCs w:val="28"/>
        </w:rPr>
        <w:t xml:space="preserve"> 1)</w:t>
      </w:r>
      <w:r w:rsidR="00AA265B" w:rsidRPr="00A11345">
        <w:rPr>
          <w:sz w:val="28"/>
          <w:szCs w:val="28"/>
        </w:rPr>
        <w:t xml:space="preserve"> </w:t>
      </w:r>
      <w:r w:rsidRPr="00A11345">
        <w:rPr>
          <w:b/>
          <w:bCs/>
          <w:sz w:val="28"/>
          <w:szCs w:val="28"/>
        </w:rPr>
        <w:t xml:space="preserve">comparer la </w:t>
      </w:r>
      <w:r w:rsidR="00E86198" w:rsidRPr="00A11345">
        <w:rPr>
          <w:b/>
          <w:bCs/>
          <w:sz w:val="28"/>
          <w:szCs w:val="28"/>
        </w:rPr>
        <w:t xml:space="preserve">gestion du patrimoine culturel et </w:t>
      </w:r>
      <w:r w:rsidR="00512DE8">
        <w:rPr>
          <w:b/>
          <w:bCs/>
          <w:sz w:val="28"/>
          <w:szCs w:val="28"/>
        </w:rPr>
        <w:t>du</w:t>
      </w:r>
      <w:r w:rsidR="00E86198" w:rsidRPr="00A11345">
        <w:rPr>
          <w:b/>
          <w:bCs/>
          <w:sz w:val="28"/>
          <w:szCs w:val="28"/>
        </w:rPr>
        <w:t xml:space="preserve"> patrimoine naturel </w:t>
      </w:r>
      <w:r w:rsidR="00E86198" w:rsidRPr="00A11345">
        <w:rPr>
          <w:sz w:val="28"/>
          <w:szCs w:val="28"/>
        </w:rPr>
        <w:t xml:space="preserve">en Belgique et au Québec. Plus spécifiquement, il s’agit </w:t>
      </w:r>
      <w:r w:rsidR="00AA265B" w:rsidRPr="00A11345">
        <w:rPr>
          <w:b/>
          <w:bCs/>
          <w:sz w:val="28"/>
          <w:szCs w:val="28"/>
        </w:rPr>
        <w:t>2)</w:t>
      </w:r>
      <w:r w:rsidR="00AA265B" w:rsidRPr="00A11345">
        <w:rPr>
          <w:sz w:val="28"/>
          <w:szCs w:val="28"/>
        </w:rPr>
        <w:t> </w:t>
      </w:r>
      <w:r w:rsidR="00E86198" w:rsidRPr="00A11345">
        <w:rPr>
          <w:b/>
          <w:bCs/>
          <w:sz w:val="28"/>
          <w:szCs w:val="28"/>
        </w:rPr>
        <w:t xml:space="preserve">d’évaluer la </w:t>
      </w:r>
      <w:r w:rsidRPr="00A11345">
        <w:rPr>
          <w:b/>
          <w:bCs/>
          <w:sz w:val="28"/>
          <w:szCs w:val="28"/>
        </w:rPr>
        <w:t>place du patrimoine culturel dans les espaces protégés</w:t>
      </w:r>
      <w:r w:rsidRPr="00A11345">
        <w:rPr>
          <w:sz w:val="28"/>
          <w:szCs w:val="28"/>
        </w:rPr>
        <w:t xml:space="preserve">, selon </w:t>
      </w:r>
      <w:r w:rsidR="00B84395">
        <w:rPr>
          <w:sz w:val="28"/>
          <w:szCs w:val="28"/>
        </w:rPr>
        <w:t xml:space="preserve">les </w:t>
      </w:r>
      <w:r w:rsidRPr="00A11345">
        <w:rPr>
          <w:sz w:val="28"/>
          <w:szCs w:val="28"/>
        </w:rPr>
        <w:t>différents paliers de gouvern</w:t>
      </w:r>
      <w:r w:rsidR="003066BF" w:rsidRPr="00A11345">
        <w:rPr>
          <w:sz w:val="28"/>
          <w:szCs w:val="28"/>
        </w:rPr>
        <w:t>ance</w:t>
      </w:r>
      <w:r w:rsidR="000D2730" w:rsidRPr="00A11345">
        <w:rPr>
          <w:sz w:val="28"/>
          <w:szCs w:val="28"/>
        </w:rPr>
        <w:t>.</w:t>
      </w:r>
    </w:p>
    <w:p w14:paraId="4C984A27" w14:textId="77777777" w:rsidR="000D2730" w:rsidRPr="00A11345" w:rsidRDefault="000D2730" w:rsidP="000D2730">
      <w:pPr>
        <w:spacing w:after="0" w:line="240" w:lineRule="auto"/>
        <w:jc w:val="both"/>
        <w:rPr>
          <w:sz w:val="28"/>
          <w:szCs w:val="28"/>
        </w:rPr>
      </w:pPr>
    </w:p>
    <w:p w14:paraId="7850C2DE" w14:textId="3A6E8BD4" w:rsidR="000D2730" w:rsidRPr="00A11345" w:rsidRDefault="000D2730" w:rsidP="000D273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A11345">
        <w:rPr>
          <w:b/>
          <w:bCs/>
          <w:sz w:val="28"/>
          <w:szCs w:val="28"/>
        </w:rPr>
        <w:t>Traces et héritage dans les paysages actuels</w:t>
      </w:r>
    </w:p>
    <w:p w14:paraId="1B59772A" w14:textId="6EA700CE" w:rsidR="00E86198" w:rsidRDefault="00E86198" w:rsidP="000D2730">
      <w:pPr>
        <w:spacing w:after="0" w:line="240" w:lineRule="auto"/>
        <w:jc w:val="both"/>
        <w:rPr>
          <w:sz w:val="28"/>
          <w:szCs w:val="28"/>
        </w:rPr>
      </w:pPr>
      <w:r w:rsidRPr="00A11345">
        <w:rPr>
          <w:sz w:val="28"/>
          <w:szCs w:val="28"/>
        </w:rPr>
        <w:t xml:space="preserve">Les sites d’études comprennent le parc national de la Mauricie </w:t>
      </w:r>
      <w:r w:rsidR="003066BF" w:rsidRPr="00A11345">
        <w:rPr>
          <w:sz w:val="28"/>
          <w:szCs w:val="28"/>
        </w:rPr>
        <w:t xml:space="preserve">au Québec </w:t>
      </w:r>
      <w:r w:rsidRPr="00A11345">
        <w:rPr>
          <w:sz w:val="28"/>
          <w:szCs w:val="28"/>
        </w:rPr>
        <w:t xml:space="preserve">et le parc naturels des Hautes-Fagnes </w:t>
      </w:r>
      <w:r w:rsidR="003066BF" w:rsidRPr="00A11345">
        <w:rPr>
          <w:sz w:val="28"/>
          <w:szCs w:val="28"/>
        </w:rPr>
        <w:t xml:space="preserve">en Belgique </w:t>
      </w:r>
      <w:r w:rsidRPr="00A11345">
        <w:rPr>
          <w:sz w:val="28"/>
          <w:szCs w:val="28"/>
        </w:rPr>
        <w:t>où l</w:t>
      </w:r>
      <w:r w:rsidR="008E503A" w:rsidRPr="00A11345">
        <w:rPr>
          <w:sz w:val="28"/>
          <w:szCs w:val="28"/>
        </w:rPr>
        <w:t>es cours d’eau ont été aménagé</w:t>
      </w:r>
      <w:r w:rsidR="003066BF" w:rsidRPr="00A11345">
        <w:rPr>
          <w:sz w:val="28"/>
          <w:szCs w:val="28"/>
        </w:rPr>
        <w:t>s</w:t>
      </w:r>
      <w:r w:rsidR="008E503A" w:rsidRPr="00A11345">
        <w:rPr>
          <w:sz w:val="28"/>
          <w:szCs w:val="28"/>
        </w:rPr>
        <w:t xml:space="preserve">, pour le flottage du bois du côté de la Mauricie, comme à plusieurs endroits au Québec, </w:t>
      </w:r>
      <w:r w:rsidR="00605E8F" w:rsidRPr="00A11345">
        <w:rPr>
          <w:sz w:val="28"/>
          <w:szCs w:val="28"/>
        </w:rPr>
        <w:t xml:space="preserve">et </w:t>
      </w:r>
      <w:r w:rsidR="008E503A" w:rsidRPr="00A11345">
        <w:rPr>
          <w:sz w:val="28"/>
          <w:szCs w:val="28"/>
        </w:rPr>
        <w:t xml:space="preserve">pour le drainage </w:t>
      </w:r>
      <w:r w:rsidR="00605E8F" w:rsidRPr="00A11345">
        <w:rPr>
          <w:sz w:val="28"/>
          <w:szCs w:val="28"/>
        </w:rPr>
        <w:t xml:space="preserve">à des fins </w:t>
      </w:r>
      <w:r w:rsidR="008E503A" w:rsidRPr="00A11345">
        <w:rPr>
          <w:sz w:val="28"/>
          <w:szCs w:val="28"/>
        </w:rPr>
        <w:t>agricole</w:t>
      </w:r>
      <w:r w:rsidR="00605E8F" w:rsidRPr="00A11345">
        <w:rPr>
          <w:sz w:val="28"/>
          <w:szCs w:val="28"/>
        </w:rPr>
        <w:t>s</w:t>
      </w:r>
      <w:r w:rsidR="008E503A" w:rsidRPr="00A11345">
        <w:rPr>
          <w:sz w:val="28"/>
          <w:szCs w:val="28"/>
        </w:rPr>
        <w:t xml:space="preserve"> du côté de la Belgique, comme cela est </w:t>
      </w:r>
      <w:r w:rsidR="00A1068A" w:rsidRPr="00A11345">
        <w:rPr>
          <w:sz w:val="28"/>
          <w:szCs w:val="28"/>
        </w:rPr>
        <w:t>généralisé</w:t>
      </w:r>
      <w:r w:rsidR="008E503A" w:rsidRPr="00A11345">
        <w:rPr>
          <w:sz w:val="28"/>
          <w:szCs w:val="28"/>
        </w:rPr>
        <w:t xml:space="preserve"> en Europe.</w:t>
      </w:r>
      <w:r w:rsidR="001A4941" w:rsidRPr="00A11345">
        <w:rPr>
          <w:sz w:val="28"/>
          <w:szCs w:val="28"/>
        </w:rPr>
        <w:t xml:space="preserve"> </w:t>
      </w:r>
      <w:r w:rsidR="00605E8F" w:rsidRPr="00A11345">
        <w:rPr>
          <w:sz w:val="28"/>
          <w:szCs w:val="28"/>
        </w:rPr>
        <w:t>Ces aménagements connaissent des destins différents : au Québec, la « renaturalisation » des cours d’eau préconise la destruction de</w:t>
      </w:r>
      <w:r w:rsidR="00AA265B" w:rsidRPr="00A11345">
        <w:rPr>
          <w:sz w:val="28"/>
          <w:szCs w:val="28"/>
        </w:rPr>
        <w:t xml:space="preserve"> ce</w:t>
      </w:r>
      <w:r w:rsidR="00605E8F" w:rsidRPr="00A11345">
        <w:rPr>
          <w:sz w:val="28"/>
          <w:szCs w:val="28"/>
        </w:rPr>
        <w:t>s aménagements anthropiques</w:t>
      </w:r>
      <w:r w:rsidR="003066BF" w:rsidRPr="00A11345">
        <w:rPr>
          <w:sz w:val="28"/>
          <w:szCs w:val="28"/>
        </w:rPr>
        <w:t xml:space="preserve">. Dans les parcs nationaux </w:t>
      </w:r>
      <w:r w:rsidR="004E0E06" w:rsidRPr="00A11345">
        <w:rPr>
          <w:sz w:val="28"/>
          <w:szCs w:val="28"/>
        </w:rPr>
        <w:t xml:space="preserve">québécois </w:t>
      </w:r>
      <w:r w:rsidR="003066BF" w:rsidRPr="00A11345">
        <w:rPr>
          <w:sz w:val="28"/>
          <w:szCs w:val="28"/>
        </w:rPr>
        <w:t xml:space="preserve">principalement voués à la conservation de la biodiversité et de la géodiversité, les traces matérielles des occupations anthropiques </w:t>
      </w:r>
      <w:r w:rsidR="004E0E06" w:rsidRPr="00A11345">
        <w:rPr>
          <w:sz w:val="28"/>
          <w:szCs w:val="28"/>
        </w:rPr>
        <w:t xml:space="preserve">sont souvent </w:t>
      </w:r>
      <w:r w:rsidR="00A1068A" w:rsidRPr="00A11345">
        <w:rPr>
          <w:sz w:val="28"/>
          <w:szCs w:val="28"/>
        </w:rPr>
        <w:t>perçues</w:t>
      </w:r>
      <w:r w:rsidR="004E0E06" w:rsidRPr="00A11345">
        <w:rPr>
          <w:sz w:val="28"/>
          <w:szCs w:val="28"/>
        </w:rPr>
        <w:t xml:space="preserve"> comme des perturbations.</w:t>
      </w:r>
      <w:r w:rsidR="00605E8F" w:rsidRPr="00A11345">
        <w:rPr>
          <w:sz w:val="28"/>
          <w:szCs w:val="28"/>
        </w:rPr>
        <w:t xml:space="preserve"> </w:t>
      </w:r>
      <w:r w:rsidR="001A4941" w:rsidRPr="00A11345">
        <w:rPr>
          <w:sz w:val="28"/>
          <w:szCs w:val="28"/>
        </w:rPr>
        <w:t>Au contraire, du</w:t>
      </w:r>
      <w:r w:rsidR="00605E8F" w:rsidRPr="00A11345">
        <w:rPr>
          <w:sz w:val="28"/>
          <w:szCs w:val="28"/>
        </w:rPr>
        <w:t xml:space="preserve"> côté de l’Europe, certains aménagements hérités de pratiques traditionnelles </w:t>
      </w:r>
      <w:r w:rsidR="00AA265B" w:rsidRPr="00A11345">
        <w:rPr>
          <w:sz w:val="28"/>
          <w:szCs w:val="28"/>
        </w:rPr>
        <w:t xml:space="preserve">sont considérés comme écologiquement viables. C’est le cas notamment de l’abissage, une technique d’irrigation des prairies qui a récemment été reconnue comme patrimoine culturel immatériel par l’UNESCO. Ces aménagements plus ou moins anciens des cours d’eau </w:t>
      </w:r>
      <w:r w:rsidR="00605E8F" w:rsidRPr="00A11345">
        <w:rPr>
          <w:sz w:val="28"/>
          <w:szCs w:val="28"/>
        </w:rPr>
        <w:t xml:space="preserve">s’inscrivent dans </w:t>
      </w:r>
      <w:r w:rsidR="000D2730" w:rsidRPr="00A11345">
        <w:rPr>
          <w:b/>
          <w:bCs/>
          <w:sz w:val="28"/>
          <w:szCs w:val="28"/>
        </w:rPr>
        <w:t>3</w:t>
      </w:r>
      <w:r w:rsidR="00AA265B" w:rsidRPr="00A11345">
        <w:rPr>
          <w:b/>
          <w:bCs/>
          <w:sz w:val="28"/>
          <w:szCs w:val="28"/>
        </w:rPr>
        <w:t xml:space="preserve">) </w:t>
      </w:r>
      <w:r w:rsidR="00605E8F" w:rsidRPr="00A11345">
        <w:rPr>
          <w:b/>
          <w:bCs/>
          <w:sz w:val="28"/>
          <w:szCs w:val="28"/>
        </w:rPr>
        <w:t xml:space="preserve">des paysages culturels </w:t>
      </w:r>
      <w:r w:rsidR="00AA265B" w:rsidRPr="00A11345">
        <w:rPr>
          <w:b/>
          <w:bCs/>
          <w:sz w:val="28"/>
          <w:szCs w:val="28"/>
        </w:rPr>
        <w:t>à documenter et à cartographier</w:t>
      </w:r>
      <w:r w:rsidR="00605E8F" w:rsidRPr="00A11345">
        <w:rPr>
          <w:sz w:val="28"/>
          <w:szCs w:val="28"/>
        </w:rPr>
        <w:t xml:space="preserve"> à l’aide de la télédétection et de l’imagerie LiDAR</w:t>
      </w:r>
      <w:r w:rsidR="004E0E06" w:rsidRPr="00A11345">
        <w:rPr>
          <w:sz w:val="28"/>
          <w:szCs w:val="28"/>
        </w:rPr>
        <w:t xml:space="preserve"> et de sources complémentaires</w:t>
      </w:r>
      <w:r w:rsidR="000D2730" w:rsidRPr="00A11345">
        <w:rPr>
          <w:sz w:val="28"/>
          <w:szCs w:val="28"/>
        </w:rPr>
        <w:t xml:space="preserve"> afin </w:t>
      </w:r>
      <w:r w:rsidR="000D2730" w:rsidRPr="00A11345">
        <w:rPr>
          <w:b/>
          <w:bCs/>
          <w:sz w:val="28"/>
          <w:szCs w:val="28"/>
        </w:rPr>
        <w:t xml:space="preserve">4) d’identifier l’héritage des occupations et </w:t>
      </w:r>
      <w:r w:rsidR="00B84395">
        <w:rPr>
          <w:b/>
          <w:bCs/>
          <w:sz w:val="28"/>
          <w:szCs w:val="28"/>
        </w:rPr>
        <w:t xml:space="preserve">des </w:t>
      </w:r>
      <w:r w:rsidR="000D2730" w:rsidRPr="00A11345">
        <w:rPr>
          <w:b/>
          <w:bCs/>
          <w:sz w:val="28"/>
          <w:szCs w:val="28"/>
        </w:rPr>
        <w:t>utilisations passées dans les paysages actuels</w:t>
      </w:r>
      <w:r w:rsidR="000D2730" w:rsidRPr="00A11345">
        <w:rPr>
          <w:sz w:val="28"/>
          <w:szCs w:val="28"/>
        </w:rPr>
        <w:t>.</w:t>
      </w:r>
    </w:p>
    <w:p w14:paraId="6CCA0772" w14:textId="77777777" w:rsidR="00A11345" w:rsidRDefault="00A11345" w:rsidP="000D2730">
      <w:pPr>
        <w:spacing w:after="0" w:line="240" w:lineRule="auto"/>
        <w:jc w:val="both"/>
        <w:rPr>
          <w:sz w:val="28"/>
          <w:szCs w:val="28"/>
        </w:rPr>
      </w:pPr>
    </w:p>
    <w:p w14:paraId="615C2515" w14:textId="519A160F" w:rsidR="00A11345" w:rsidRPr="00A11345" w:rsidRDefault="00A11345" w:rsidP="000D273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manifester votre intérêt ou </w:t>
      </w:r>
      <w:r w:rsidR="00512DE8">
        <w:rPr>
          <w:sz w:val="28"/>
          <w:szCs w:val="28"/>
        </w:rPr>
        <w:t xml:space="preserve">pour </w:t>
      </w:r>
      <w:r>
        <w:rPr>
          <w:sz w:val="28"/>
          <w:szCs w:val="28"/>
        </w:rPr>
        <w:t>en savoir plus, contactez</w:t>
      </w:r>
      <w:r w:rsidR="00951CBD">
        <w:rPr>
          <w:sz w:val="28"/>
          <w:szCs w:val="28"/>
        </w:rPr>
        <w:t xml:space="preserve"> </w:t>
      </w:r>
      <w:r w:rsidR="00B84395">
        <w:rPr>
          <w:sz w:val="28"/>
          <w:szCs w:val="28"/>
        </w:rPr>
        <w:t>Manon Savard</w:t>
      </w:r>
      <w:r w:rsidR="00951CBD">
        <w:rPr>
          <w:sz w:val="28"/>
          <w:szCs w:val="28"/>
        </w:rPr>
        <w:t>, profe</w:t>
      </w:r>
      <w:r w:rsidR="00B735EC">
        <w:rPr>
          <w:sz w:val="28"/>
          <w:szCs w:val="28"/>
        </w:rPr>
        <w:t>s</w:t>
      </w:r>
      <w:r w:rsidR="00951CBD">
        <w:rPr>
          <w:sz w:val="28"/>
          <w:szCs w:val="28"/>
        </w:rPr>
        <w:t xml:space="preserve">seure de géographie et d’archéologie à l’UQAR à : </w:t>
      </w:r>
      <w:proofErr w:type="spellStart"/>
      <w:r>
        <w:rPr>
          <w:sz w:val="28"/>
          <w:szCs w:val="28"/>
        </w:rPr>
        <w:t>manon_savard</w:t>
      </w:r>
      <w:proofErr w:type="spellEnd"/>
      <w:r w:rsidR="00512DE8">
        <w:rPr>
          <w:sz w:val="28"/>
          <w:szCs w:val="28"/>
        </w:rPr>
        <w:t>[arobase]</w:t>
      </w:r>
      <w:proofErr w:type="gramStart"/>
      <w:r>
        <w:rPr>
          <w:sz w:val="28"/>
          <w:szCs w:val="28"/>
        </w:rPr>
        <w:t>uqar.ca</w:t>
      </w:r>
      <w:r w:rsidR="00512DE8">
        <w:rPr>
          <w:sz w:val="28"/>
          <w:szCs w:val="28"/>
        </w:rPr>
        <w:t xml:space="preserve"> </w:t>
      </w:r>
      <w:r w:rsidR="001046E0">
        <w:rPr>
          <w:sz w:val="28"/>
          <w:szCs w:val="28"/>
        </w:rPr>
        <w:t>.</w:t>
      </w:r>
      <w:proofErr w:type="gramEnd"/>
    </w:p>
    <w:sectPr w:rsidR="00A11345" w:rsidRPr="00A11345" w:rsidSect="00A113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303"/>
    <w:multiLevelType w:val="hybridMultilevel"/>
    <w:tmpl w:val="EDB857F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7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B9"/>
    <w:rsid w:val="000D2730"/>
    <w:rsid w:val="001046E0"/>
    <w:rsid w:val="00121098"/>
    <w:rsid w:val="001A4941"/>
    <w:rsid w:val="001D560E"/>
    <w:rsid w:val="003066BF"/>
    <w:rsid w:val="00417EB9"/>
    <w:rsid w:val="004E0E06"/>
    <w:rsid w:val="00512DE8"/>
    <w:rsid w:val="00605E8F"/>
    <w:rsid w:val="00685CAA"/>
    <w:rsid w:val="006F05EC"/>
    <w:rsid w:val="008E503A"/>
    <w:rsid w:val="00951CBD"/>
    <w:rsid w:val="00997603"/>
    <w:rsid w:val="00A1068A"/>
    <w:rsid w:val="00A11345"/>
    <w:rsid w:val="00A4334E"/>
    <w:rsid w:val="00A84F92"/>
    <w:rsid w:val="00AA265B"/>
    <w:rsid w:val="00B27FCA"/>
    <w:rsid w:val="00B735EC"/>
    <w:rsid w:val="00B84395"/>
    <w:rsid w:val="00BC7DFD"/>
    <w:rsid w:val="00C937F4"/>
    <w:rsid w:val="00E80147"/>
    <w:rsid w:val="00E86198"/>
    <w:rsid w:val="00EF2E8F"/>
    <w:rsid w:val="00F877F1"/>
    <w:rsid w:val="00FC58C1"/>
    <w:rsid w:val="00FD160D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4F58"/>
  <w15:chartTrackingRefBased/>
  <w15:docId w15:val="{99E45BA2-0C28-4958-894E-9EC0C44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7E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7E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7E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7E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7E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7E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7E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7E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7E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E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7EB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1134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1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1219-AF04-45C0-B94E-B3D154C0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Savard Manon</dc:creator>
  <cp:keywords/>
  <dc:description/>
  <cp:lastModifiedBy>Vézina Stéphanie</cp:lastModifiedBy>
  <cp:revision>2</cp:revision>
  <cp:lastPrinted>2025-11-28T18:18:00Z</cp:lastPrinted>
  <dcterms:created xsi:type="dcterms:W3CDTF">2025-12-01T15:59:00Z</dcterms:created>
  <dcterms:modified xsi:type="dcterms:W3CDTF">2025-12-01T15:59:00Z</dcterms:modified>
</cp:coreProperties>
</file>